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412D" w:rsidRDefault="00867335" w:rsidP="00FA1FA0">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FA1FA0" w:rsidRDefault="00867335" w:rsidP="00FA1FA0">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FA1FA0" w:rsidRDefault="00867335" w:rsidP="00FA1FA0">
      <w:pPr>
        <w:spacing w:line="480" w:lineRule="auto"/>
        <w:rPr>
          <w:rFonts w:ascii="Times New Roman" w:hAnsi="Times New Roman" w:cs="Times New Roman"/>
          <w:sz w:val="24"/>
          <w:szCs w:val="24"/>
        </w:rPr>
      </w:pPr>
      <w:r>
        <w:rPr>
          <w:rFonts w:ascii="Times New Roman" w:hAnsi="Times New Roman" w:cs="Times New Roman"/>
          <w:sz w:val="24"/>
          <w:szCs w:val="24"/>
        </w:rPr>
        <w:t>Subject:</w:t>
      </w:r>
    </w:p>
    <w:p w:rsidR="00FA1FA0" w:rsidRDefault="00867335" w:rsidP="00FA1FA0">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FA1FA0" w:rsidRDefault="00867335" w:rsidP="00E30EC5">
      <w:pPr>
        <w:spacing w:line="480" w:lineRule="auto"/>
        <w:jc w:val="center"/>
        <w:rPr>
          <w:rFonts w:ascii="Times New Roman" w:hAnsi="Times New Roman" w:cs="Times New Roman"/>
          <w:sz w:val="24"/>
          <w:szCs w:val="24"/>
        </w:rPr>
      </w:pPr>
      <w:r>
        <w:rPr>
          <w:rFonts w:ascii="Times New Roman" w:hAnsi="Times New Roman" w:cs="Times New Roman"/>
          <w:sz w:val="24"/>
          <w:szCs w:val="24"/>
        </w:rPr>
        <w:t>W</w:t>
      </w:r>
      <w:r w:rsidR="00E30EC5">
        <w:rPr>
          <w:rFonts w:ascii="Times New Roman" w:hAnsi="Times New Roman" w:cs="Times New Roman"/>
          <w:sz w:val="24"/>
          <w:szCs w:val="24"/>
        </w:rPr>
        <w:t>ong, Rhode, Kay, and Shipman’s Ideas of Success</w:t>
      </w:r>
    </w:p>
    <w:p w:rsidR="00E30EC5" w:rsidRDefault="00867335" w:rsidP="00E30EC5">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Deborah Rhode is critical that it is a crime to be beautiful in the contemporary world and the victims sustain significant psychological damages. The glaring bias that is associated with attractiveness emanates from diverse cultural perceptions. Rhode’s </w:t>
      </w:r>
      <w:r w:rsidR="00414297">
        <w:rPr>
          <w:rFonts w:ascii="Times New Roman" w:hAnsi="Times New Roman" w:cs="Times New Roman"/>
          <w:sz w:val="24"/>
          <w:szCs w:val="24"/>
        </w:rPr>
        <w:t>ideologies relate</w:t>
      </w:r>
      <w:r>
        <w:rPr>
          <w:rFonts w:ascii="Times New Roman" w:hAnsi="Times New Roman" w:cs="Times New Roman"/>
          <w:sz w:val="24"/>
          <w:szCs w:val="24"/>
        </w:rPr>
        <w:t xml:space="preserve"> to Katty Kay and Claire Shipman’s who reiterate that women have been victims since they play by the rules. </w:t>
      </w:r>
      <w:r w:rsidR="00414297">
        <w:rPr>
          <w:rFonts w:ascii="Times New Roman" w:hAnsi="Times New Roman" w:cs="Times New Roman"/>
          <w:sz w:val="24"/>
          <w:szCs w:val="24"/>
        </w:rPr>
        <w:t>Women have been kept on the sidelines for a very long time despite that they have made undeniable progress. Women have worked diligently like their male counterparts; however, the latter has received all the credits (Kay and Shipman). As a result, there are few or no women at the top. Rhode's articulates that the challenges that women are experiencing are appearance-related and they have prevailed since women have been unable to confront them. The social has thrived on prejudices against healthy images of attractiveness (Rhodes). In this re</w:t>
      </w:r>
      <w:r w:rsidR="00A11961">
        <w:rPr>
          <w:rFonts w:ascii="Times New Roman" w:hAnsi="Times New Roman" w:cs="Times New Roman"/>
          <w:sz w:val="24"/>
          <w:szCs w:val="24"/>
        </w:rPr>
        <w:t>gard, the society harbors negative perceptions that beautiful females are likely to get employed or promoted as opposed to their less attractive counterparts.</w:t>
      </w:r>
    </w:p>
    <w:p w:rsidR="00A11961" w:rsidRDefault="00867335" w:rsidP="00E30EC5">
      <w:pPr>
        <w:spacing w:line="480" w:lineRule="auto"/>
        <w:rPr>
          <w:rFonts w:ascii="Times New Roman" w:hAnsi="Times New Roman" w:cs="Times New Roman"/>
          <w:sz w:val="24"/>
          <w:szCs w:val="24"/>
        </w:rPr>
      </w:pPr>
      <w:r>
        <w:rPr>
          <w:rFonts w:ascii="Times New Roman" w:hAnsi="Times New Roman" w:cs="Times New Roman"/>
          <w:sz w:val="24"/>
          <w:szCs w:val="24"/>
        </w:rPr>
        <w:tab/>
        <w:t>Rhode’s, Shipman’s and Kay’s ideologies are analogous to Grace Wong’s since she is critical age is a hindrance to females in certain industries such as tech due to male dominance. Wong is critica</w:t>
      </w:r>
      <w:r>
        <w:rPr>
          <w:rFonts w:ascii="Times New Roman" w:hAnsi="Times New Roman" w:cs="Times New Roman"/>
          <w:sz w:val="24"/>
          <w:szCs w:val="24"/>
        </w:rPr>
        <w:t xml:space="preserve">l about the cult of youth that has technological hubs such as Silicon Valley </w:t>
      </w:r>
      <w:r w:rsidR="00812FB5">
        <w:rPr>
          <w:rFonts w:ascii="Times New Roman" w:hAnsi="Times New Roman" w:cs="Times New Roman"/>
          <w:sz w:val="24"/>
          <w:szCs w:val="24"/>
        </w:rPr>
        <w:t xml:space="preserve">and as a woman who is in her thirties; females ought to fake till they make it. Therefore, females have </w:t>
      </w:r>
      <w:r w:rsidR="00812FB5">
        <w:rPr>
          <w:rFonts w:ascii="Times New Roman" w:hAnsi="Times New Roman" w:cs="Times New Roman"/>
          <w:sz w:val="24"/>
          <w:szCs w:val="24"/>
        </w:rPr>
        <w:lastRenderedPageBreak/>
        <w:t>to delete some credential in their curriculum vitae (Wong). The four writers are critical about how appearance accompanied by gender have significantly impacted on women. They are opined that male-dominated societies have turned blind eyes to the achievements of women and tend to judge based on their appearances.</w:t>
      </w:r>
    </w:p>
    <w:p w:rsidR="00054283" w:rsidRDefault="00867335" w:rsidP="00E30EC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6554A">
        <w:rPr>
          <w:rFonts w:ascii="Times New Roman" w:hAnsi="Times New Roman" w:cs="Times New Roman"/>
          <w:sz w:val="24"/>
          <w:szCs w:val="24"/>
        </w:rPr>
        <w:tab/>
      </w:r>
      <w:r>
        <w:rPr>
          <w:rFonts w:ascii="Times New Roman" w:hAnsi="Times New Roman" w:cs="Times New Roman"/>
          <w:sz w:val="24"/>
          <w:szCs w:val="24"/>
        </w:rPr>
        <w:t xml:space="preserve">The ideologies </w:t>
      </w:r>
      <w:r>
        <w:rPr>
          <w:rFonts w:ascii="Times New Roman" w:hAnsi="Times New Roman" w:cs="Times New Roman"/>
          <w:sz w:val="24"/>
          <w:szCs w:val="24"/>
        </w:rPr>
        <w:t xml:space="preserve">of the writers on gender and appearance resonate with chapter one's readings since they highlight social and labor biases against women. Adam Smith reiterates that the Commonwealth </w:t>
      </w:r>
      <w:r w:rsidR="00B36D71">
        <w:rPr>
          <w:rFonts w:ascii="Times New Roman" w:hAnsi="Times New Roman" w:cs="Times New Roman"/>
          <w:sz w:val="24"/>
          <w:szCs w:val="24"/>
        </w:rPr>
        <w:t xml:space="preserve">requires that in the </w:t>
      </w:r>
      <w:r>
        <w:rPr>
          <w:rFonts w:ascii="Times New Roman" w:hAnsi="Times New Roman" w:cs="Times New Roman"/>
          <w:sz w:val="24"/>
          <w:szCs w:val="24"/>
        </w:rPr>
        <w:t xml:space="preserve">division of </w:t>
      </w:r>
      <w:r w:rsidR="00B36D71">
        <w:rPr>
          <w:rFonts w:ascii="Times New Roman" w:hAnsi="Times New Roman" w:cs="Times New Roman"/>
          <w:sz w:val="24"/>
          <w:szCs w:val="24"/>
        </w:rPr>
        <w:t>labor, companies should not discriminate against workers based on their gender. Like the four writers, Smith is concerned that the labor market still prescribes to traditional perceptions that male is better laborers as compared to their female counterparts.  Besides, John Dowey analogy of labor and leisure is similar to Kay's and Shipman's sentiments since he articulates that laborers should be rewarded with leisure after hard work. Like women, laborers do not get rewards for their labor since they do not live worthily</w:t>
      </w:r>
      <w:r>
        <w:rPr>
          <w:rFonts w:ascii="Times New Roman" w:hAnsi="Times New Roman" w:cs="Times New Roman"/>
          <w:sz w:val="24"/>
          <w:szCs w:val="24"/>
        </w:rPr>
        <w:t xml:space="preserve"> (Dowey)</w:t>
      </w:r>
      <w:r w:rsidR="00B36D71">
        <w:rPr>
          <w:rFonts w:ascii="Times New Roman" w:hAnsi="Times New Roman" w:cs="Times New Roman"/>
          <w:sz w:val="24"/>
          <w:szCs w:val="24"/>
        </w:rPr>
        <w:t xml:space="preserve">. Also, Nicholas Jones questions whether what </w:t>
      </w:r>
      <w:r>
        <w:rPr>
          <w:rFonts w:ascii="Times New Roman" w:hAnsi="Times New Roman" w:cs="Times New Roman"/>
          <w:sz w:val="24"/>
          <w:szCs w:val="24"/>
        </w:rPr>
        <w:t>individuals do on a day-to-day basis are worthwhile and it compares to the sentiments of the writers who think that women are useless since they have not achieved their goals. They are still trampled on in spite of working tireless</w:t>
      </w:r>
      <w:r>
        <w:rPr>
          <w:rFonts w:ascii="Times New Roman" w:hAnsi="Times New Roman" w:cs="Times New Roman"/>
          <w:sz w:val="24"/>
          <w:szCs w:val="24"/>
        </w:rPr>
        <w:t>ly hard to make a name for themselves.</w:t>
      </w:r>
    </w:p>
    <w:p w:rsidR="00812FB5" w:rsidRDefault="00867335" w:rsidP="00E30EC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6554A">
        <w:rPr>
          <w:rFonts w:ascii="Times New Roman" w:hAnsi="Times New Roman" w:cs="Times New Roman"/>
          <w:sz w:val="24"/>
          <w:szCs w:val="24"/>
        </w:rPr>
        <w:tab/>
      </w:r>
      <w:bookmarkStart w:id="0" w:name="_GoBack"/>
      <w:bookmarkEnd w:id="0"/>
      <w:r>
        <w:rPr>
          <w:rFonts w:ascii="Times New Roman" w:hAnsi="Times New Roman" w:cs="Times New Roman"/>
          <w:sz w:val="24"/>
          <w:szCs w:val="24"/>
        </w:rPr>
        <w:t>Moreover, Rhode's, Kay's, Shipman's, and Wong's ideas on the success of a woman compares with the sentiments of authors in unit two since they stress on the need for individuals to forget about their histories and fo</w:t>
      </w:r>
      <w:r>
        <w:rPr>
          <w:rFonts w:ascii="Times New Roman" w:hAnsi="Times New Roman" w:cs="Times New Roman"/>
          <w:sz w:val="24"/>
          <w:szCs w:val="24"/>
        </w:rPr>
        <w:t xml:space="preserve">cus on the future. In this regard, women should forget about the injustices that they have been subjected to in the hands of their male counterparts, and strive to make themselves better than tomorrow. They should endeavor to achieve optimal </w:t>
      </w:r>
      <w:r w:rsidR="00F70C49">
        <w:rPr>
          <w:rFonts w:ascii="Times New Roman" w:hAnsi="Times New Roman" w:cs="Times New Roman"/>
          <w:sz w:val="24"/>
          <w:szCs w:val="24"/>
        </w:rPr>
        <w:t xml:space="preserve">self-efficacies and play their roles in society without merely feeling inferior to men. Conclusively, </w:t>
      </w:r>
      <w:r w:rsidR="00F70C49">
        <w:rPr>
          <w:rFonts w:ascii="Times New Roman" w:hAnsi="Times New Roman" w:cs="Times New Roman"/>
          <w:sz w:val="24"/>
          <w:szCs w:val="24"/>
        </w:rPr>
        <w:lastRenderedPageBreak/>
        <w:t>their destinies are in their hands, and they can change things when they step up instead of complaining incessantly.</w:t>
      </w:r>
    </w:p>
    <w:p w:rsidR="00F70C49" w:rsidRDefault="00F70C49" w:rsidP="00E30EC5">
      <w:pPr>
        <w:spacing w:line="480" w:lineRule="auto"/>
        <w:rPr>
          <w:rFonts w:ascii="Times New Roman" w:hAnsi="Times New Roman" w:cs="Times New Roman"/>
          <w:sz w:val="24"/>
          <w:szCs w:val="24"/>
        </w:rPr>
      </w:pPr>
    </w:p>
    <w:p w:rsidR="00F70C49" w:rsidRDefault="00F70C49" w:rsidP="00E30EC5">
      <w:pPr>
        <w:spacing w:line="480" w:lineRule="auto"/>
        <w:rPr>
          <w:rFonts w:ascii="Times New Roman" w:hAnsi="Times New Roman" w:cs="Times New Roman"/>
          <w:sz w:val="24"/>
          <w:szCs w:val="24"/>
        </w:rPr>
      </w:pPr>
    </w:p>
    <w:p w:rsidR="00F70C49" w:rsidRDefault="00F70C49" w:rsidP="00E30EC5">
      <w:pPr>
        <w:spacing w:line="480" w:lineRule="auto"/>
        <w:rPr>
          <w:rFonts w:ascii="Times New Roman" w:hAnsi="Times New Roman" w:cs="Times New Roman"/>
          <w:sz w:val="24"/>
          <w:szCs w:val="24"/>
        </w:rPr>
      </w:pPr>
    </w:p>
    <w:p w:rsidR="00F70C49" w:rsidRDefault="00F70C49" w:rsidP="00E30EC5">
      <w:pPr>
        <w:spacing w:line="480" w:lineRule="auto"/>
        <w:rPr>
          <w:rFonts w:ascii="Times New Roman" w:hAnsi="Times New Roman" w:cs="Times New Roman"/>
          <w:sz w:val="24"/>
          <w:szCs w:val="24"/>
        </w:rPr>
      </w:pPr>
    </w:p>
    <w:p w:rsidR="00F70C49" w:rsidRDefault="00F70C49" w:rsidP="00E30EC5">
      <w:pPr>
        <w:spacing w:line="480" w:lineRule="auto"/>
        <w:rPr>
          <w:rFonts w:ascii="Times New Roman" w:hAnsi="Times New Roman" w:cs="Times New Roman"/>
          <w:sz w:val="24"/>
          <w:szCs w:val="24"/>
        </w:rPr>
      </w:pPr>
    </w:p>
    <w:p w:rsidR="00F70C49" w:rsidRDefault="00F70C49" w:rsidP="00E30EC5">
      <w:pPr>
        <w:spacing w:line="480" w:lineRule="auto"/>
        <w:rPr>
          <w:rFonts w:ascii="Times New Roman" w:hAnsi="Times New Roman" w:cs="Times New Roman"/>
          <w:sz w:val="24"/>
          <w:szCs w:val="24"/>
        </w:rPr>
      </w:pPr>
    </w:p>
    <w:p w:rsidR="00F70C49" w:rsidRDefault="00F70C49" w:rsidP="00E30EC5">
      <w:pPr>
        <w:spacing w:line="480" w:lineRule="auto"/>
        <w:rPr>
          <w:rFonts w:ascii="Times New Roman" w:hAnsi="Times New Roman" w:cs="Times New Roman"/>
          <w:sz w:val="24"/>
          <w:szCs w:val="24"/>
        </w:rPr>
      </w:pPr>
    </w:p>
    <w:p w:rsidR="00F70C49" w:rsidRDefault="00F70C49" w:rsidP="00E30EC5">
      <w:pPr>
        <w:spacing w:line="480" w:lineRule="auto"/>
        <w:rPr>
          <w:rFonts w:ascii="Times New Roman" w:hAnsi="Times New Roman" w:cs="Times New Roman"/>
          <w:sz w:val="24"/>
          <w:szCs w:val="24"/>
        </w:rPr>
      </w:pPr>
    </w:p>
    <w:p w:rsidR="00F70C49" w:rsidRDefault="00F70C49" w:rsidP="00E30EC5">
      <w:pPr>
        <w:spacing w:line="480" w:lineRule="auto"/>
        <w:rPr>
          <w:rFonts w:ascii="Times New Roman" w:hAnsi="Times New Roman" w:cs="Times New Roman"/>
          <w:sz w:val="24"/>
          <w:szCs w:val="24"/>
        </w:rPr>
      </w:pPr>
    </w:p>
    <w:p w:rsidR="00F70C49" w:rsidRDefault="00F70C49" w:rsidP="00E30EC5">
      <w:pPr>
        <w:spacing w:line="480" w:lineRule="auto"/>
        <w:rPr>
          <w:rFonts w:ascii="Times New Roman" w:hAnsi="Times New Roman" w:cs="Times New Roman"/>
          <w:sz w:val="24"/>
          <w:szCs w:val="24"/>
        </w:rPr>
      </w:pPr>
    </w:p>
    <w:p w:rsidR="00F70C49" w:rsidRDefault="00F70C49" w:rsidP="00E30EC5">
      <w:pPr>
        <w:spacing w:line="480" w:lineRule="auto"/>
        <w:rPr>
          <w:rFonts w:ascii="Times New Roman" w:hAnsi="Times New Roman" w:cs="Times New Roman"/>
          <w:sz w:val="24"/>
          <w:szCs w:val="24"/>
        </w:rPr>
      </w:pPr>
    </w:p>
    <w:p w:rsidR="00F70C49" w:rsidRDefault="00F70C49" w:rsidP="00E30EC5">
      <w:pPr>
        <w:spacing w:line="480" w:lineRule="auto"/>
        <w:rPr>
          <w:rFonts w:ascii="Times New Roman" w:hAnsi="Times New Roman" w:cs="Times New Roman"/>
          <w:sz w:val="24"/>
          <w:szCs w:val="24"/>
        </w:rPr>
      </w:pPr>
    </w:p>
    <w:p w:rsidR="00F70C49" w:rsidRDefault="00F70C49" w:rsidP="00E30EC5">
      <w:pPr>
        <w:spacing w:line="480" w:lineRule="auto"/>
        <w:rPr>
          <w:rFonts w:ascii="Times New Roman" w:hAnsi="Times New Roman" w:cs="Times New Roman"/>
          <w:sz w:val="24"/>
          <w:szCs w:val="24"/>
        </w:rPr>
      </w:pPr>
    </w:p>
    <w:p w:rsidR="00F70C49" w:rsidRDefault="00F70C49" w:rsidP="00E30EC5">
      <w:pPr>
        <w:spacing w:line="480" w:lineRule="auto"/>
        <w:rPr>
          <w:rFonts w:ascii="Times New Roman" w:hAnsi="Times New Roman" w:cs="Times New Roman"/>
          <w:sz w:val="24"/>
          <w:szCs w:val="24"/>
        </w:rPr>
      </w:pPr>
    </w:p>
    <w:p w:rsidR="00F70C49" w:rsidRDefault="00F70C49" w:rsidP="00E30EC5">
      <w:pPr>
        <w:spacing w:line="480" w:lineRule="auto"/>
        <w:rPr>
          <w:rFonts w:ascii="Times New Roman" w:hAnsi="Times New Roman" w:cs="Times New Roman"/>
          <w:sz w:val="24"/>
          <w:szCs w:val="24"/>
        </w:rPr>
      </w:pPr>
    </w:p>
    <w:p w:rsidR="00F70C49" w:rsidRDefault="00F70C49" w:rsidP="00E30EC5">
      <w:pPr>
        <w:spacing w:line="480" w:lineRule="auto"/>
        <w:rPr>
          <w:rFonts w:ascii="Times New Roman" w:hAnsi="Times New Roman" w:cs="Times New Roman"/>
          <w:sz w:val="24"/>
          <w:szCs w:val="24"/>
        </w:rPr>
      </w:pPr>
    </w:p>
    <w:p w:rsidR="00F70C49" w:rsidRDefault="00867335" w:rsidP="00F70C4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F70C49" w:rsidRDefault="00867335" w:rsidP="00F70C49">
      <w:pPr>
        <w:spacing w:line="480" w:lineRule="auto"/>
        <w:rPr>
          <w:rFonts w:ascii="Times New Roman" w:hAnsi="Times New Roman" w:cs="Times New Roman"/>
          <w:sz w:val="24"/>
          <w:szCs w:val="24"/>
        </w:rPr>
      </w:pPr>
      <w:r>
        <w:rPr>
          <w:rFonts w:ascii="Times New Roman" w:hAnsi="Times New Roman" w:cs="Times New Roman"/>
          <w:sz w:val="24"/>
          <w:szCs w:val="24"/>
        </w:rPr>
        <w:t>Adam, Smith. “PART III:</w:t>
      </w:r>
      <w:r>
        <w:rPr>
          <w:rFonts w:ascii="Times New Roman" w:hAnsi="Times New Roman" w:cs="Times New Roman"/>
          <w:sz w:val="24"/>
          <w:szCs w:val="24"/>
        </w:rPr>
        <w:t xml:space="preserve"> Of the Expense of Public Works and Public Institutions.”</w:t>
      </w:r>
    </w:p>
    <w:p w:rsidR="00F70C49" w:rsidRDefault="00867335" w:rsidP="00F70C49">
      <w:pPr>
        <w:spacing w:line="480" w:lineRule="auto"/>
        <w:ind w:left="720"/>
        <w:rPr>
          <w:rFonts w:ascii="Times New Roman" w:hAnsi="Times New Roman" w:cs="Times New Roman"/>
          <w:sz w:val="24"/>
          <w:szCs w:val="24"/>
        </w:rPr>
      </w:pPr>
      <w:hyperlink r:id="rId7" w:history="1">
        <w:r w:rsidRPr="00ED1BC1">
          <w:rPr>
            <w:rStyle w:val="Hyperlink"/>
            <w:rFonts w:ascii="Times New Roman" w:hAnsi="Times New Roman" w:cs="Times New Roman"/>
            <w:sz w:val="24"/>
            <w:szCs w:val="24"/>
          </w:rPr>
          <w:t>file:///C:/Users/User/Documents/Adam%20Smith%20Wealth%20of%20Nations%20Selections.pdf</w:t>
        </w:r>
      </w:hyperlink>
    </w:p>
    <w:p w:rsidR="00F70C49" w:rsidRDefault="00867335" w:rsidP="00F70C49">
      <w:pPr>
        <w:spacing w:line="480" w:lineRule="auto"/>
        <w:rPr>
          <w:rFonts w:ascii="Times New Roman" w:hAnsi="Times New Roman" w:cs="Times New Roman"/>
          <w:sz w:val="24"/>
          <w:szCs w:val="24"/>
        </w:rPr>
      </w:pPr>
      <w:r>
        <w:rPr>
          <w:rFonts w:ascii="Times New Roman" w:hAnsi="Times New Roman" w:cs="Times New Roman"/>
          <w:sz w:val="24"/>
          <w:szCs w:val="24"/>
        </w:rPr>
        <w:t>Dewey, Joh</w:t>
      </w:r>
      <w:r>
        <w:rPr>
          <w:rFonts w:ascii="Times New Roman" w:hAnsi="Times New Roman" w:cs="Times New Roman"/>
          <w:sz w:val="24"/>
          <w:szCs w:val="24"/>
        </w:rPr>
        <w:t>n. “Labor and Leisure” from Democracy and Education.”</w:t>
      </w:r>
    </w:p>
    <w:p w:rsidR="00F70C49" w:rsidRDefault="00867335" w:rsidP="00F70C49">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8" w:history="1">
        <w:r w:rsidRPr="00F70C49">
          <w:rPr>
            <w:rStyle w:val="Hyperlink"/>
            <w:rFonts w:ascii="Times New Roman" w:hAnsi="Times New Roman" w:cs="Times New Roman"/>
            <w:sz w:val="24"/>
            <w:szCs w:val="24"/>
          </w:rPr>
          <w:t>file:///C:/Users/User/Documents/John%20Dewey%20%20Labor%20and%20Leisure.pdf</w:t>
        </w:r>
      </w:hyperlink>
    </w:p>
    <w:p w:rsidR="00F70C49" w:rsidRDefault="00867335" w:rsidP="00F70C49">
      <w:pPr>
        <w:spacing w:line="480" w:lineRule="auto"/>
        <w:rPr>
          <w:rFonts w:ascii="Times New Roman" w:hAnsi="Times New Roman" w:cs="Times New Roman"/>
          <w:sz w:val="24"/>
          <w:szCs w:val="24"/>
        </w:rPr>
      </w:pPr>
      <w:r>
        <w:rPr>
          <w:rFonts w:ascii="Times New Roman" w:hAnsi="Times New Roman" w:cs="Times New Roman"/>
          <w:sz w:val="24"/>
          <w:szCs w:val="24"/>
        </w:rPr>
        <w:t xml:space="preserve">Jones, Nicholas. “Liberal </w:t>
      </w:r>
      <w:r>
        <w:rPr>
          <w:rFonts w:ascii="Times New Roman" w:hAnsi="Times New Roman" w:cs="Times New Roman"/>
          <w:sz w:val="24"/>
          <w:szCs w:val="24"/>
        </w:rPr>
        <w:t>Art, and the advantages of being useless.” Academia.edu. 2012</w:t>
      </w:r>
    </w:p>
    <w:p w:rsidR="00F70C49" w:rsidRDefault="00867335" w:rsidP="00F70C49">
      <w:pPr>
        <w:spacing w:line="480" w:lineRule="auto"/>
        <w:ind w:left="720"/>
        <w:rPr>
          <w:rFonts w:ascii="Times New Roman" w:hAnsi="Times New Roman" w:cs="Times New Roman"/>
          <w:sz w:val="24"/>
          <w:szCs w:val="24"/>
        </w:rPr>
      </w:pPr>
      <w:hyperlink r:id="rId9" w:history="1">
        <w:r w:rsidRPr="00ED1BC1">
          <w:rPr>
            <w:rStyle w:val="Hyperlink"/>
            <w:rFonts w:ascii="Times New Roman" w:hAnsi="Times New Roman" w:cs="Times New Roman"/>
            <w:sz w:val="24"/>
            <w:szCs w:val="24"/>
          </w:rPr>
          <w:t>https://www.academia.edu/2454947/Liberal_Arts_and_the_Advantages_of_Being_Useless</w:t>
        </w:r>
      </w:hyperlink>
    </w:p>
    <w:p w:rsidR="00F70C49" w:rsidRDefault="00867335" w:rsidP="00F70C49">
      <w:pPr>
        <w:spacing w:line="480" w:lineRule="auto"/>
        <w:rPr>
          <w:rFonts w:ascii="Times New Roman" w:hAnsi="Times New Roman" w:cs="Times New Roman"/>
          <w:sz w:val="24"/>
          <w:szCs w:val="24"/>
        </w:rPr>
      </w:pPr>
      <w:r>
        <w:rPr>
          <w:rFonts w:ascii="Times New Roman" w:hAnsi="Times New Roman" w:cs="Times New Roman"/>
          <w:sz w:val="24"/>
          <w:szCs w:val="24"/>
        </w:rPr>
        <w:t>Kay, Katty and</w:t>
      </w:r>
      <w:r>
        <w:rPr>
          <w:rFonts w:ascii="Times New Roman" w:hAnsi="Times New Roman" w:cs="Times New Roman"/>
          <w:sz w:val="24"/>
          <w:szCs w:val="24"/>
        </w:rPr>
        <w:t xml:space="preserve"> Shipman, Claire. “The Confidence Gap.” The Atlantic. May 2014.</w:t>
      </w:r>
    </w:p>
    <w:p w:rsidR="00F70C49" w:rsidRDefault="00867335" w:rsidP="00F70C49">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10" w:history="1">
        <w:r w:rsidRPr="00F70C49">
          <w:rPr>
            <w:rStyle w:val="Hyperlink"/>
            <w:rFonts w:ascii="Times New Roman" w:hAnsi="Times New Roman" w:cs="Times New Roman"/>
            <w:sz w:val="24"/>
            <w:szCs w:val="24"/>
          </w:rPr>
          <w:t>https://www.theatlantic.com/magazine/archive/2014/05/the-confidence-gap/359815/</w:t>
        </w:r>
      </w:hyperlink>
    </w:p>
    <w:p w:rsidR="00F70C49" w:rsidRDefault="00867335" w:rsidP="00F70C49">
      <w:pPr>
        <w:spacing w:line="480" w:lineRule="auto"/>
        <w:rPr>
          <w:rFonts w:ascii="Times New Roman" w:hAnsi="Times New Roman" w:cs="Times New Roman"/>
          <w:sz w:val="24"/>
          <w:szCs w:val="24"/>
        </w:rPr>
      </w:pPr>
      <w:r>
        <w:rPr>
          <w:rFonts w:ascii="Times New Roman" w:hAnsi="Times New Roman" w:cs="Times New Roman"/>
          <w:sz w:val="24"/>
          <w:szCs w:val="24"/>
        </w:rPr>
        <w:t>Wong, Grace. “D</w:t>
      </w:r>
      <w:r>
        <w:rPr>
          <w:rFonts w:ascii="Times New Roman" w:hAnsi="Times New Roman" w:cs="Times New Roman"/>
          <w:sz w:val="24"/>
          <w:szCs w:val="24"/>
        </w:rPr>
        <w:t>iversity Problem: Age Bias in Tech.” Modern View Culture. 9</w:t>
      </w:r>
      <w:r w:rsidRPr="00F70C49">
        <w:rPr>
          <w:rFonts w:ascii="Times New Roman" w:hAnsi="Times New Roman" w:cs="Times New Roman"/>
          <w:sz w:val="24"/>
          <w:szCs w:val="24"/>
          <w:vertAlign w:val="superscript"/>
        </w:rPr>
        <w:t>th</w:t>
      </w:r>
      <w:r>
        <w:rPr>
          <w:rFonts w:ascii="Times New Roman" w:hAnsi="Times New Roman" w:cs="Times New Roman"/>
          <w:sz w:val="24"/>
          <w:szCs w:val="24"/>
        </w:rPr>
        <w:t xml:space="preserve"> April, 2015.</w:t>
      </w:r>
    </w:p>
    <w:p w:rsidR="00F70C49" w:rsidRDefault="00867335" w:rsidP="00F70C49">
      <w:pPr>
        <w:spacing w:line="480" w:lineRule="auto"/>
        <w:ind w:left="720"/>
        <w:rPr>
          <w:rFonts w:ascii="Times New Roman" w:hAnsi="Times New Roman" w:cs="Times New Roman"/>
          <w:sz w:val="24"/>
          <w:szCs w:val="24"/>
        </w:rPr>
      </w:pPr>
      <w:hyperlink r:id="rId11" w:history="1">
        <w:r w:rsidRPr="00ED1BC1">
          <w:rPr>
            <w:rStyle w:val="Hyperlink"/>
            <w:rFonts w:ascii="Times New Roman" w:hAnsi="Times New Roman" w:cs="Times New Roman"/>
            <w:sz w:val="24"/>
            <w:szCs w:val="24"/>
          </w:rPr>
          <w:t>https://modelviewculture.com/pieces/silicon-valleys-other-diversity-prob</w:t>
        </w:r>
        <w:r w:rsidRPr="00ED1BC1">
          <w:rPr>
            <w:rStyle w:val="Hyperlink"/>
            <w:rFonts w:ascii="Times New Roman" w:hAnsi="Times New Roman" w:cs="Times New Roman"/>
            <w:sz w:val="24"/>
            <w:szCs w:val="24"/>
          </w:rPr>
          <w:t>lem-age-bias-in-tech</w:t>
        </w:r>
      </w:hyperlink>
    </w:p>
    <w:p w:rsidR="00A11961" w:rsidRDefault="00A11961" w:rsidP="00E30EC5">
      <w:pPr>
        <w:spacing w:line="480" w:lineRule="auto"/>
        <w:rPr>
          <w:rFonts w:ascii="Times New Roman" w:hAnsi="Times New Roman" w:cs="Times New Roman"/>
          <w:sz w:val="24"/>
          <w:szCs w:val="24"/>
        </w:rPr>
      </w:pPr>
    </w:p>
    <w:p w:rsidR="00FA1FA0" w:rsidRPr="00FA1FA0" w:rsidRDefault="00FA1FA0" w:rsidP="00FA1FA0">
      <w:pPr>
        <w:spacing w:line="480" w:lineRule="auto"/>
        <w:rPr>
          <w:rFonts w:ascii="Times New Roman" w:hAnsi="Times New Roman" w:cs="Times New Roman"/>
          <w:b/>
          <w:sz w:val="24"/>
          <w:szCs w:val="24"/>
        </w:rPr>
      </w:pPr>
    </w:p>
    <w:sectPr w:rsidR="00FA1FA0" w:rsidRPr="00FA1FA0">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7335" w:rsidRDefault="00867335">
      <w:pPr>
        <w:spacing w:after="0" w:line="240" w:lineRule="auto"/>
      </w:pPr>
      <w:r>
        <w:separator/>
      </w:r>
    </w:p>
  </w:endnote>
  <w:endnote w:type="continuationSeparator" w:id="0">
    <w:p w:rsidR="00867335" w:rsidRDefault="008673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7335" w:rsidRDefault="00867335">
      <w:pPr>
        <w:spacing w:after="0" w:line="240" w:lineRule="auto"/>
      </w:pPr>
      <w:r>
        <w:separator/>
      </w:r>
    </w:p>
  </w:footnote>
  <w:footnote w:type="continuationSeparator" w:id="0">
    <w:p w:rsidR="00867335" w:rsidRDefault="008673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1FA0" w:rsidRPr="00FA1FA0" w:rsidRDefault="00867335">
    <w:pPr>
      <w:pStyle w:val="Header"/>
      <w:jc w:val="right"/>
      <w:rPr>
        <w:rFonts w:ascii="Times New Roman" w:hAnsi="Times New Roman" w:cs="Times New Roman"/>
        <w:sz w:val="24"/>
        <w:szCs w:val="24"/>
      </w:rPr>
    </w:pPr>
    <w:r w:rsidRPr="00FA1FA0">
      <w:rPr>
        <w:rFonts w:ascii="Times New Roman" w:hAnsi="Times New Roman" w:cs="Times New Roman"/>
        <w:sz w:val="24"/>
        <w:szCs w:val="24"/>
      </w:rPr>
      <w:t xml:space="preserve">Surname    </w:t>
    </w:r>
    <w:sdt>
      <w:sdtPr>
        <w:rPr>
          <w:rFonts w:ascii="Times New Roman" w:hAnsi="Times New Roman" w:cs="Times New Roman"/>
          <w:sz w:val="24"/>
          <w:szCs w:val="24"/>
        </w:rPr>
        <w:id w:val="283617805"/>
        <w:docPartObj>
          <w:docPartGallery w:val="Page Numbers (Top of Page)"/>
          <w:docPartUnique/>
        </w:docPartObj>
      </w:sdtPr>
      <w:sdtEndPr>
        <w:rPr>
          <w:noProof/>
        </w:rPr>
      </w:sdtEndPr>
      <w:sdtContent>
        <w:r w:rsidRPr="00FA1FA0">
          <w:rPr>
            <w:rFonts w:ascii="Times New Roman" w:hAnsi="Times New Roman" w:cs="Times New Roman"/>
            <w:sz w:val="24"/>
            <w:szCs w:val="24"/>
          </w:rPr>
          <w:fldChar w:fldCharType="begin"/>
        </w:r>
        <w:r w:rsidRPr="00FA1FA0">
          <w:rPr>
            <w:rFonts w:ascii="Times New Roman" w:hAnsi="Times New Roman" w:cs="Times New Roman"/>
            <w:sz w:val="24"/>
            <w:szCs w:val="24"/>
          </w:rPr>
          <w:instrText xml:space="preserve"> PAGE   \* MERGEFORMAT </w:instrText>
        </w:r>
        <w:r w:rsidRPr="00FA1FA0">
          <w:rPr>
            <w:rFonts w:ascii="Times New Roman" w:hAnsi="Times New Roman" w:cs="Times New Roman"/>
            <w:sz w:val="24"/>
            <w:szCs w:val="24"/>
          </w:rPr>
          <w:fldChar w:fldCharType="separate"/>
        </w:r>
        <w:r w:rsidR="0096554A">
          <w:rPr>
            <w:rFonts w:ascii="Times New Roman" w:hAnsi="Times New Roman" w:cs="Times New Roman"/>
            <w:noProof/>
            <w:sz w:val="24"/>
            <w:szCs w:val="24"/>
          </w:rPr>
          <w:t>3</w:t>
        </w:r>
        <w:r w:rsidRPr="00FA1FA0">
          <w:rPr>
            <w:rFonts w:ascii="Times New Roman" w:hAnsi="Times New Roman" w:cs="Times New Roman"/>
            <w:noProof/>
            <w:sz w:val="24"/>
            <w:szCs w:val="24"/>
          </w:rPr>
          <w:fldChar w:fldCharType="end"/>
        </w:r>
      </w:sdtContent>
    </w:sdt>
  </w:p>
  <w:p w:rsidR="00FA1FA0" w:rsidRDefault="00FA1F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FA0"/>
    <w:rsid w:val="00054283"/>
    <w:rsid w:val="001D2666"/>
    <w:rsid w:val="00414297"/>
    <w:rsid w:val="007C5C2D"/>
    <w:rsid w:val="0080412D"/>
    <w:rsid w:val="00812FB5"/>
    <w:rsid w:val="00867335"/>
    <w:rsid w:val="0096554A"/>
    <w:rsid w:val="00A11961"/>
    <w:rsid w:val="00B36D71"/>
    <w:rsid w:val="00BD4F4E"/>
    <w:rsid w:val="00DF4D12"/>
    <w:rsid w:val="00E30EC5"/>
    <w:rsid w:val="00ED1BC1"/>
    <w:rsid w:val="00F70C49"/>
    <w:rsid w:val="00FA1F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1F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1FA0"/>
  </w:style>
  <w:style w:type="paragraph" w:styleId="Footer">
    <w:name w:val="footer"/>
    <w:basedOn w:val="Normal"/>
    <w:link w:val="FooterChar"/>
    <w:uiPriority w:val="99"/>
    <w:unhideWhenUsed/>
    <w:rsid w:val="00FA1F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1FA0"/>
  </w:style>
  <w:style w:type="character" w:styleId="Hyperlink">
    <w:name w:val="Hyperlink"/>
    <w:basedOn w:val="DefaultParagraphFont"/>
    <w:uiPriority w:val="99"/>
    <w:unhideWhenUsed/>
    <w:rsid w:val="00F70C4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1F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1FA0"/>
  </w:style>
  <w:style w:type="paragraph" w:styleId="Footer">
    <w:name w:val="footer"/>
    <w:basedOn w:val="Normal"/>
    <w:link w:val="FooterChar"/>
    <w:uiPriority w:val="99"/>
    <w:unhideWhenUsed/>
    <w:rsid w:val="00FA1F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1FA0"/>
  </w:style>
  <w:style w:type="character" w:styleId="Hyperlink">
    <w:name w:val="Hyperlink"/>
    <w:basedOn w:val="DefaultParagraphFont"/>
    <w:uiPriority w:val="99"/>
    <w:unhideWhenUsed/>
    <w:rsid w:val="00F70C4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ocuments\John%20Dewey%20%20Labor%20and%20Leisure.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C:/Users/User/Documents/Adam%20Smith%20Wealth%20of%20Nations%20Selections.pdf"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modelviewculture.com/pieces/silicon-valleys-other-diversity-problem-age-bias-in-tech" TargetMode="External"/><Relationship Id="rId5" Type="http://schemas.openxmlformats.org/officeDocument/2006/relationships/footnotes" Target="footnotes.xml"/><Relationship Id="rId10" Type="http://schemas.openxmlformats.org/officeDocument/2006/relationships/hyperlink" Target="https://www.theatlantic.com/magazine/archive/2014/05/the-confidence-gap/359815/" TargetMode="External"/><Relationship Id="rId4" Type="http://schemas.openxmlformats.org/officeDocument/2006/relationships/webSettings" Target="webSettings.xml"/><Relationship Id="rId9" Type="http://schemas.openxmlformats.org/officeDocument/2006/relationships/hyperlink" Target="https://www.academia.edu/2454947/Liberal_Arts_and_the_Advantages_of_Being_Useles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4</Pages>
  <Words>744</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2019-05-09T05:43:00Z</dcterms:created>
  <dcterms:modified xsi:type="dcterms:W3CDTF">2019-05-09T07:20:00Z</dcterms:modified>
</cp:coreProperties>
</file>